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Te</w:t>
      </w:r>
      <w:r w:rsidR="001155B0">
        <w:rPr>
          <w:rFonts w:ascii="Calibri Light" w:eastAsia="Arial Unicode MS" w:hAnsi="Calibri Light" w:cs="Calibri Light"/>
          <w:sz w:val="22"/>
          <w:szCs w:val="22"/>
        </w:rPr>
        <w:t>rmomodernizacja budynku szkoły i sali gimnastycznej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FC7C55">
        <w:rPr>
          <w:rFonts w:ascii="Calibri Light" w:eastAsia="Arial Unicode MS" w:hAnsi="Calibri Light" w:cs="Calibri Light"/>
          <w:snapToGrid w:val="0"/>
          <w:sz w:val="22"/>
          <w:szCs w:val="22"/>
        </w:rPr>
        <w:t>Termomodernizacja budynku szkoły i sali gimnastycznej</w:t>
      </w:r>
      <w:r w:rsidR="0039138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na gruncie niniejszej Umowy rozumie się wykonanie przedmiotu Umowy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C7C55" w:rsidRPr="00FC7C55">
        <w:rPr>
          <w:rFonts w:ascii="Calibri Light" w:eastAsia="Arial Unicode MS" w:hAnsi="Calibri Light" w:cs="Calibri Light"/>
          <w:sz w:val="22"/>
          <w:szCs w:val="22"/>
        </w:rPr>
        <w:t>50</w:t>
      </w:r>
      <w:r w:rsidR="00F10602" w:rsidRPr="00FC7C55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kalendarzowych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przed podpisaniem umowy złożył kosztorys wskazujący sposób kalkulacji wynagrodzenia ryczałtowego (uwzględniający wszystkie przewidziane przedmiotem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Budowy 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</w:t>
      </w:r>
      <w:r w:rsidR="00CB43DF" w:rsidRPr="00E67556">
        <w:rPr>
          <w:rFonts w:ascii="Calibri Light" w:eastAsia="Arial Unicode MS" w:hAnsi="Calibri Light" w:cs="Calibri Light"/>
        </w:rPr>
        <w:lastRenderedPageBreak/>
        <w:t xml:space="preserve">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w układzie uzgodnionym z Inspektorem nadzoru inwestorskiego. Harmonogram powinien być 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Wykonawcy na zawarcie umowy o treści zgodnej z projektem 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</w:t>
      </w:r>
      <w:r>
        <w:rPr>
          <w:rFonts w:ascii="Calibri Light" w:eastAsia="Arial Unicode MS" w:hAnsi="Calibri Light" w:cs="Calibri Light"/>
          <w:color w:val="auto"/>
        </w:rPr>
        <w:lastRenderedPageBreak/>
        <w:t>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Zestawienia należności przysługujących wszystkim podwykonawcom i dalszym podwykonawcom, którzy wykonali czynności wchodzące w zakres przedmiot Umowy (względnie części przedmiotu Umowy) objęty odbiorem, będącym podstawą 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lastRenderedPageBreak/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lastRenderedPageBreak/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Pr="00E73F42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lastRenderedPageBreak/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53" w:rsidRDefault="006E4953">
      <w:r>
        <w:separator/>
      </w:r>
    </w:p>
  </w:endnote>
  <w:endnote w:type="continuationSeparator" w:id="0">
    <w:p w:rsidR="006E4953" w:rsidRDefault="006E4953">
      <w:r>
        <w:continuationSeparator/>
      </w:r>
    </w:p>
  </w:endnote>
  <w:endnote w:type="continuationNotice" w:id="1">
    <w:p w:rsidR="006E4953" w:rsidRDefault="006E49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932E54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932E54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F7419E">
      <w:rPr>
        <w:rFonts w:ascii="Arial" w:hAnsi="Arial" w:cs="Arial"/>
        <w:b/>
        <w:bCs/>
        <w:noProof/>
        <w:sz w:val="16"/>
        <w:szCs w:val="16"/>
      </w:rPr>
      <w:t>1</w:t>
    </w:r>
    <w:r w:rsidR="00932E54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932E54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932E54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F7419E">
      <w:rPr>
        <w:rFonts w:ascii="Arial" w:hAnsi="Arial" w:cs="Arial"/>
        <w:b/>
        <w:bCs/>
        <w:noProof/>
        <w:sz w:val="16"/>
        <w:szCs w:val="16"/>
      </w:rPr>
      <w:t>22</w:t>
    </w:r>
    <w:r w:rsidR="00932E54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53" w:rsidRDefault="006E4953">
      <w:r>
        <w:separator/>
      </w:r>
    </w:p>
  </w:footnote>
  <w:footnote w:type="continuationSeparator" w:id="0">
    <w:p w:rsidR="006E4953" w:rsidRDefault="006E4953">
      <w:r>
        <w:continuationSeparator/>
      </w:r>
    </w:p>
  </w:footnote>
  <w:footnote w:type="continuationNotice" w:id="1">
    <w:p w:rsidR="006E4953" w:rsidRDefault="006E49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4A4600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2/ZP/2022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2F1C-AE35-4D6E-B18D-327B7D7C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22</Pages>
  <Words>8991</Words>
  <Characters>53952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62818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18</cp:revision>
  <cp:lastPrinted>2021-04-19T05:14:00Z</cp:lastPrinted>
  <dcterms:created xsi:type="dcterms:W3CDTF">2022-04-11T12:56:00Z</dcterms:created>
  <dcterms:modified xsi:type="dcterms:W3CDTF">2022-04-21T07:43:00Z</dcterms:modified>
</cp:coreProperties>
</file>